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4B" w:rsidRDefault="00827800">
      <w:pPr>
        <w:pStyle w:val="Body"/>
        <w:jc w:val="center"/>
        <w:rPr>
          <w:b/>
          <w:bCs/>
          <w:sz w:val="28"/>
          <w:szCs w:val="28"/>
        </w:rPr>
      </w:pPr>
      <w:r>
        <w:rPr>
          <w:noProof/>
          <w:sz w:val="28"/>
          <w:szCs w:val="28"/>
        </w:rPr>
        <w:drawing>
          <wp:inline distT="0" distB="0" distL="0" distR="0">
            <wp:extent cx="2286000" cy="676275"/>
            <wp:effectExtent l="0" t="0" r="0" b="0"/>
            <wp:docPr id="1073741825" name="officeArt object" descr="USABA Color Logo w_Name"/>
            <wp:cNvGraphicFramePr/>
            <a:graphic xmlns:a="http://schemas.openxmlformats.org/drawingml/2006/main">
              <a:graphicData uri="http://schemas.openxmlformats.org/drawingml/2006/picture">
                <pic:pic xmlns:pic="http://schemas.openxmlformats.org/drawingml/2006/picture">
                  <pic:nvPicPr>
                    <pic:cNvPr id="1073741825" name="image1.jpg" descr="USABA Color Logo w_Name"/>
                    <pic:cNvPicPr/>
                  </pic:nvPicPr>
                  <pic:blipFill>
                    <a:blip r:embed="rId7">
                      <a:extLst/>
                    </a:blip>
                    <a:stretch>
                      <a:fillRect/>
                    </a:stretch>
                  </pic:blipFill>
                  <pic:spPr>
                    <a:xfrm>
                      <a:off x="0" y="0"/>
                      <a:ext cx="2286000" cy="676275"/>
                    </a:xfrm>
                    <a:prstGeom prst="rect">
                      <a:avLst/>
                    </a:prstGeom>
                    <a:ln w="12700" cap="flat">
                      <a:noFill/>
                      <a:miter lim="400000"/>
                    </a:ln>
                    <a:effectLst/>
                  </pic:spPr>
                </pic:pic>
              </a:graphicData>
            </a:graphic>
          </wp:inline>
        </w:drawing>
      </w:r>
    </w:p>
    <w:p w:rsidR="0060504B" w:rsidRDefault="00827800">
      <w:pPr>
        <w:pStyle w:val="Body"/>
        <w:jc w:val="center"/>
        <w:rPr>
          <w:b/>
          <w:bCs/>
          <w:sz w:val="28"/>
          <w:szCs w:val="28"/>
        </w:rPr>
      </w:pPr>
      <w:r>
        <w:rPr>
          <w:b/>
          <w:bCs/>
          <w:sz w:val="28"/>
          <w:szCs w:val="28"/>
          <w:lang w:val="de-DE"/>
        </w:rPr>
        <w:t>UNITED STATES ASSOCIATION OF BLIND ATHLETES ATHLETE SAFETY POLICY</w:t>
      </w:r>
    </w:p>
    <w:p w:rsidR="0060504B" w:rsidRDefault="00827800">
      <w:pPr>
        <w:pStyle w:val="Body"/>
        <w:rPr>
          <w:b/>
          <w:bCs/>
          <w:sz w:val="24"/>
          <w:szCs w:val="24"/>
        </w:rPr>
      </w:pPr>
      <w:r>
        <w:rPr>
          <w:b/>
          <w:bCs/>
          <w:sz w:val="24"/>
          <w:szCs w:val="24"/>
        </w:rPr>
        <w:t>Purpose:</w:t>
      </w:r>
    </w:p>
    <w:p w:rsidR="0060504B" w:rsidRDefault="00827800">
      <w:pPr>
        <w:pStyle w:val="Body"/>
        <w:rPr>
          <w:sz w:val="24"/>
          <w:szCs w:val="24"/>
        </w:rPr>
      </w:pPr>
      <w:r>
        <w:rPr>
          <w:sz w:val="24"/>
          <w:szCs w:val="24"/>
        </w:rPr>
        <w:t xml:space="preserve">To establish a United States Association of Blind Athletes (USABA) policy that assures a safe environment for athletes and others who participate in our programs.  </w:t>
      </w:r>
    </w:p>
    <w:p w:rsidR="0060504B" w:rsidRDefault="00827800">
      <w:pPr>
        <w:pStyle w:val="Body"/>
        <w:rPr>
          <w:b/>
          <w:bCs/>
          <w:sz w:val="24"/>
          <w:szCs w:val="24"/>
        </w:rPr>
      </w:pPr>
      <w:r>
        <w:rPr>
          <w:b/>
          <w:bCs/>
          <w:sz w:val="24"/>
          <w:szCs w:val="24"/>
        </w:rPr>
        <w:t>Policy Statement:</w:t>
      </w:r>
    </w:p>
    <w:p w:rsidR="0060504B" w:rsidRDefault="00827800">
      <w:pPr>
        <w:pStyle w:val="Body"/>
        <w:rPr>
          <w:sz w:val="24"/>
          <w:szCs w:val="24"/>
        </w:rPr>
      </w:pPr>
      <w:r>
        <w:rPr>
          <w:sz w:val="24"/>
          <w:szCs w:val="24"/>
        </w:rPr>
        <w:t>USABA is committed to the safety and well-being of all athletes and others who participate in our programs.  This will be accomplished by creating a safe and positive environment that is free of misconduct to include bullying, hazing, harassment (including sexual harassment), emotional misconduct, physical misconduct and emotional misconduct.  USABA’s commitment extends to our role as a membership organization (including a training site in Fort Wayne, Indiana), as a United States Olympic Committee (USOC) Multi-Sport Organization and as the USOC High Performance Management Organization for the sport of goalball.  This policy supports the SafeSport Code for the U.S. Olympic and Paralympic Movements.</w:t>
      </w:r>
    </w:p>
    <w:p w:rsidR="0060504B" w:rsidRDefault="00827800">
      <w:pPr>
        <w:pStyle w:val="Body"/>
        <w:rPr>
          <w:b/>
          <w:bCs/>
          <w:sz w:val="24"/>
          <w:szCs w:val="24"/>
        </w:rPr>
      </w:pPr>
      <w:r>
        <w:rPr>
          <w:b/>
          <w:bCs/>
          <w:sz w:val="24"/>
          <w:szCs w:val="24"/>
        </w:rPr>
        <w:t>Along with this commitment, USABA establishes the following policy that applies to our employees, contractual staff, coaches, USABA referees</w:t>
      </w:r>
      <w:r w:rsidR="00DE4BBF">
        <w:rPr>
          <w:b/>
          <w:bCs/>
          <w:sz w:val="24"/>
          <w:szCs w:val="24"/>
        </w:rPr>
        <w:t>, guides, pilots</w:t>
      </w:r>
      <w:r w:rsidR="0061104C">
        <w:rPr>
          <w:b/>
          <w:bCs/>
          <w:sz w:val="24"/>
          <w:szCs w:val="24"/>
        </w:rPr>
        <w:t xml:space="preserve"> and </w:t>
      </w:r>
      <w:r w:rsidR="0061104C" w:rsidRPr="0061104C">
        <w:rPr>
          <w:b/>
          <w:bCs/>
          <w:sz w:val="24"/>
          <w:szCs w:val="24"/>
        </w:rPr>
        <w:t>athletes USABA designates for the U.S. Anti-Doping Agency (USADA) required testing pool (RTP)</w:t>
      </w:r>
      <w:r w:rsidR="0061104C">
        <w:rPr>
          <w:b/>
          <w:bCs/>
          <w:sz w:val="24"/>
          <w:szCs w:val="24"/>
        </w:rPr>
        <w:t>.</w:t>
      </w:r>
    </w:p>
    <w:p w:rsidR="0060504B" w:rsidRDefault="00827800">
      <w:pPr>
        <w:pStyle w:val="ListParagraph"/>
        <w:numPr>
          <w:ilvl w:val="0"/>
          <w:numId w:val="3"/>
        </w:numPr>
        <w:tabs>
          <w:tab w:val="clear" w:pos="720"/>
          <w:tab w:val="num" w:pos="690"/>
        </w:tabs>
        <w:ind w:left="690" w:hanging="330"/>
        <w:rPr>
          <w:rFonts w:ascii="Trebuchet MS Bold" w:eastAsia="Trebuchet MS Bold" w:hAnsi="Trebuchet MS Bold" w:cs="Trebuchet MS Bold"/>
          <w:b/>
          <w:bCs/>
          <w:sz w:val="24"/>
          <w:szCs w:val="24"/>
        </w:rPr>
      </w:pPr>
      <w:r>
        <w:rPr>
          <w:b/>
          <w:bCs/>
          <w:sz w:val="24"/>
          <w:szCs w:val="24"/>
          <w:u w:val="single"/>
        </w:rPr>
        <w:t>Prohibited Conduct:</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Bullying</w:t>
      </w:r>
    </w:p>
    <w:p w:rsidR="0060504B" w:rsidRDefault="00827800">
      <w:pPr>
        <w:pStyle w:val="ListParagraph"/>
        <w:numPr>
          <w:ilvl w:val="2"/>
          <w:numId w:val="5"/>
        </w:numPr>
        <w:tabs>
          <w:tab w:val="clear" w:pos="2160"/>
          <w:tab w:val="num" w:pos="2136"/>
        </w:tabs>
        <w:ind w:left="2136" w:hanging="263"/>
        <w:rPr>
          <w:sz w:val="24"/>
          <w:szCs w:val="24"/>
        </w:rPr>
      </w:pPr>
      <w:r>
        <w:rPr>
          <w:rFonts w:ascii="Trebuchet MS"/>
          <w:sz w:val="24"/>
          <w:szCs w:val="24"/>
        </w:rPr>
        <w:t xml:space="preserve">An intentional, persistent and repeated pattern of committing or willfully tolerating physical and non-physical behaviors that are intended, or have the reasonable potential, to cause fear, humiliation or physical harm </w:t>
      </w:r>
      <w:proofErr w:type="gramStart"/>
      <w:r>
        <w:rPr>
          <w:rFonts w:ascii="Trebuchet MS"/>
          <w:sz w:val="24"/>
          <w:szCs w:val="24"/>
        </w:rPr>
        <w:t>in an attempt to</w:t>
      </w:r>
      <w:proofErr w:type="gramEnd"/>
      <w:r>
        <w:rPr>
          <w:rFonts w:ascii="Trebuchet MS"/>
          <w:sz w:val="24"/>
          <w:szCs w:val="24"/>
        </w:rPr>
        <w:t xml:space="preserve"> socially exclude, diminish or isolate the targeted athlete(s), as a condition of membership; or</w:t>
      </w:r>
    </w:p>
    <w:p w:rsidR="0060504B" w:rsidRDefault="00827800">
      <w:pPr>
        <w:pStyle w:val="ListParagraph"/>
        <w:numPr>
          <w:ilvl w:val="2"/>
          <w:numId w:val="5"/>
        </w:numPr>
        <w:tabs>
          <w:tab w:val="clear" w:pos="2160"/>
          <w:tab w:val="num" w:pos="2136"/>
        </w:tabs>
        <w:ind w:left="2136" w:hanging="263"/>
        <w:rPr>
          <w:sz w:val="24"/>
          <w:szCs w:val="24"/>
        </w:rPr>
      </w:pPr>
      <w:r>
        <w:rPr>
          <w:rFonts w:ascii="Trebuchet MS"/>
          <w:sz w:val="24"/>
          <w:szCs w:val="24"/>
        </w:rPr>
        <w:t>Any act or conduct described as bullying under federal or state law.</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Hazing</w:t>
      </w:r>
    </w:p>
    <w:p w:rsidR="0060504B" w:rsidRDefault="00827800">
      <w:pPr>
        <w:pStyle w:val="ListParagraph"/>
        <w:numPr>
          <w:ilvl w:val="2"/>
          <w:numId w:val="6"/>
        </w:numPr>
        <w:tabs>
          <w:tab w:val="clear" w:pos="2160"/>
          <w:tab w:val="num" w:pos="2136"/>
        </w:tabs>
        <w:ind w:left="2136" w:hanging="263"/>
        <w:rPr>
          <w:sz w:val="24"/>
          <w:szCs w:val="24"/>
        </w:rPr>
      </w:pPr>
      <w:r>
        <w:rPr>
          <w:rFonts w:ascii="Trebuchet MS"/>
          <w:sz w:val="24"/>
          <w:szCs w:val="24"/>
        </w:rPr>
        <w:t>Coercing, requiring, forcing or willfully tolerating any humiliating, unwelcome or dangerous activity that serves as a condition for (a) joining a group or (b) being socially accepted by a group</w:t>
      </w:r>
      <w:r>
        <w:rPr>
          <w:rFonts w:hAnsi="Trebuchet MS"/>
          <w:sz w:val="24"/>
          <w:szCs w:val="24"/>
        </w:rPr>
        <w:t>’</w:t>
      </w:r>
      <w:r>
        <w:rPr>
          <w:rFonts w:ascii="Trebuchet MS"/>
          <w:sz w:val="24"/>
          <w:szCs w:val="24"/>
        </w:rPr>
        <w:t xml:space="preserve">s members; or </w:t>
      </w:r>
    </w:p>
    <w:p w:rsidR="0060504B" w:rsidRDefault="00827800">
      <w:pPr>
        <w:pStyle w:val="ListParagraph"/>
        <w:numPr>
          <w:ilvl w:val="2"/>
          <w:numId w:val="6"/>
        </w:numPr>
        <w:tabs>
          <w:tab w:val="clear" w:pos="2160"/>
          <w:tab w:val="num" w:pos="2136"/>
        </w:tabs>
        <w:ind w:left="2136" w:hanging="263"/>
        <w:rPr>
          <w:sz w:val="24"/>
          <w:szCs w:val="24"/>
        </w:rPr>
      </w:pPr>
      <w:r>
        <w:rPr>
          <w:rFonts w:ascii="Trebuchet MS"/>
          <w:sz w:val="24"/>
          <w:szCs w:val="24"/>
        </w:rPr>
        <w:t>Any act or conduct described as hazing under federal or state law.</w:t>
      </w:r>
    </w:p>
    <w:p w:rsidR="0060504B" w:rsidRDefault="0060504B">
      <w:pPr>
        <w:pStyle w:val="ListParagraph"/>
        <w:ind w:left="0"/>
        <w:rPr>
          <w:rFonts w:ascii="Trebuchet MS Bold" w:eastAsia="Trebuchet MS Bold" w:hAnsi="Trebuchet MS Bold" w:cs="Trebuchet MS Bold"/>
          <w:sz w:val="24"/>
          <w:szCs w:val="24"/>
        </w:rPr>
      </w:pP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lastRenderedPageBreak/>
        <w:t>Harassment (Including Sexual Harassment)</w:t>
      </w:r>
    </w:p>
    <w:p w:rsidR="0060504B" w:rsidRDefault="00827800">
      <w:pPr>
        <w:pStyle w:val="ListParagraph"/>
        <w:numPr>
          <w:ilvl w:val="2"/>
          <w:numId w:val="7"/>
        </w:numPr>
        <w:tabs>
          <w:tab w:val="clear" w:pos="2160"/>
          <w:tab w:val="num" w:pos="2136"/>
        </w:tabs>
        <w:ind w:left="2136" w:hanging="263"/>
        <w:rPr>
          <w:sz w:val="24"/>
          <w:szCs w:val="24"/>
        </w:rPr>
      </w:pPr>
      <w:r>
        <w:rPr>
          <w:rFonts w:ascii="Trebuchet MS"/>
          <w:sz w:val="24"/>
          <w:szCs w:val="24"/>
        </w:rPr>
        <w:t xml:space="preserve">A repeated pattern of physical and/or non-physical behaviors that (a) are intended to cause fear, humiliation or annoyance, (b) offend or degrade, (c) create a hostile environment or (d) reflect discriminatory bias </w:t>
      </w:r>
      <w:proofErr w:type="gramStart"/>
      <w:r>
        <w:rPr>
          <w:rFonts w:ascii="Trebuchet MS"/>
          <w:sz w:val="24"/>
          <w:szCs w:val="24"/>
        </w:rPr>
        <w:t>in an attempt to</w:t>
      </w:r>
      <w:proofErr w:type="gramEnd"/>
      <w:r>
        <w:rPr>
          <w:rFonts w:ascii="Trebuchet MS"/>
          <w:sz w:val="24"/>
          <w:szCs w:val="24"/>
        </w:rPr>
        <w:t xml:space="preserve"> establish dominance, superiority or power over an individual athlete or group based on gender, race, ethnicity, culture, religion, sexual orientation, gender expression or mental or physical disability; or</w:t>
      </w:r>
    </w:p>
    <w:p w:rsidR="0060504B" w:rsidRDefault="00827800">
      <w:pPr>
        <w:pStyle w:val="ListParagraph"/>
        <w:numPr>
          <w:ilvl w:val="2"/>
          <w:numId w:val="7"/>
        </w:numPr>
        <w:tabs>
          <w:tab w:val="clear" w:pos="2160"/>
          <w:tab w:val="num" w:pos="2136"/>
        </w:tabs>
        <w:ind w:left="2136" w:hanging="263"/>
        <w:rPr>
          <w:sz w:val="24"/>
          <w:szCs w:val="24"/>
        </w:rPr>
      </w:pPr>
      <w:r>
        <w:rPr>
          <w:rFonts w:ascii="Trebuchet MS"/>
          <w:sz w:val="24"/>
          <w:szCs w:val="24"/>
        </w:rPr>
        <w:t>Any act or conduct described as harassment under federal or state law.</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Emotional Misconduct</w:t>
      </w:r>
    </w:p>
    <w:p w:rsidR="0060504B" w:rsidRDefault="00827800">
      <w:pPr>
        <w:pStyle w:val="ListParagraph"/>
        <w:numPr>
          <w:ilvl w:val="2"/>
          <w:numId w:val="8"/>
        </w:numPr>
        <w:tabs>
          <w:tab w:val="clear" w:pos="2160"/>
          <w:tab w:val="num" w:pos="2136"/>
        </w:tabs>
        <w:ind w:left="2136" w:hanging="263"/>
        <w:rPr>
          <w:sz w:val="24"/>
          <w:szCs w:val="24"/>
        </w:rPr>
      </w:pPr>
      <w:r>
        <w:rPr>
          <w:rFonts w:ascii="Trebuchet MS"/>
          <w:sz w:val="24"/>
          <w:szCs w:val="24"/>
        </w:rPr>
        <w:t>A pattern of deliberate, non-contact behavior that has the potential to cause emotional or psychological harm to an athlete.  Non-contact behaviors include (a) verbal acts (b) physical acts (c) acts that deny attention or support.</w:t>
      </w:r>
    </w:p>
    <w:p w:rsidR="0060504B" w:rsidRDefault="00827800">
      <w:pPr>
        <w:pStyle w:val="ListParagraph"/>
        <w:numPr>
          <w:ilvl w:val="2"/>
          <w:numId w:val="8"/>
        </w:numPr>
        <w:tabs>
          <w:tab w:val="clear" w:pos="2160"/>
          <w:tab w:val="num" w:pos="2136"/>
        </w:tabs>
        <w:ind w:left="2136" w:hanging="263"/>
        <w:rPr>
          <w:sz w:val="24"/>
          <w:szCs w:val="24"/>
        </w:rPr>
      </w:pPr>
      <w:r>
        <w:rPr>
          <w:rFonts w:ascii="Trebuchet MS"/>
          <w:sz w:val="24"/>
          <w:szCs w:val="24"/>
        </w:rPr>
        <w:t>Any act or conduct as emotional abuse or misconduct under federal or state law (e.g., child abuse, child neglect).</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Physical Misconduct</w:t>
      </w:r>
    </w:p>
    <w:p w:rsidR="0060504B" w:rsidRDefault="00827800">
      <w:pPr>
        <w:pStyle w:val="ListParagraph"/>
        <w:numPr>
          <w:ilvl w:val="2"/>
          <w:numId w:val="9"/>
        </w:numPr>
        <w:tabs>
          <w:tab w:val="clear" w:pos="2160"/>
          <w:tab w:val="num" w:pos="2136"/>
        </w:tabs>
        <w:ind w:left="2136" w:hanging="263"/>
        <w:rPr>
          <w:sz w:val="24"/>
          <w:szCs w:val="24"/>
        </w:rPr>
      </w:pPr>
      <w:r>
        <w:rPr>
          <w:rFonts w:ascii="Trebuchet MS"/>
          <w:sz w:val="24"/>
          <w:szCs w:val="24"/>
        </w:rPr>
        <w:t>Contact or non-contact that results in, or reasonably threatens to, cause physical harm to an athlete or other sports participants; or</w:t>
      </w:r>
    </w:p>
    <w:p w:rsidR="0060504B" w:rsidRDefault="00827800">
      <w:pPr>
        <w:pStyle w:val="ListParagraph"/>
        <w:numPr>
          <w:ilvl w:val="2"/>
          <w:numId w:val="9"/>
        </w:numPr>
        <w:tabs>
          <w:tab w:val="clear" w:pos="2160"/>
          <w:tab w:val="num" w:pos="2136"/>
        </w:tabs>
        <w:ind w:left="2136" w:hanging="263"/>
        <w:rPr>
          <w:sz w:val="24"/>
          <w:szCs w:val="24"/>
        </w:rPr>
      </w:pPr>
      <w:r>
        <w:rPr>
          <w:rFonts w:ascii="Trebuchet MS"/>
          <w:sz w:val="24"/>
          <w:szCs w:val="24"/>
        </w:rPr>
        <w:t>Any act or conduct described as physical abuse or misconduct under federal or state law (e.g., child abuse, child neglect, assault).</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Sexual Misconduct</w:t>
      </w:r>
    </w:p>
    <w:p w:rsidR="0060504B" w:rsidRDefault="00827800">
      <w:pPr>
        <w:pStyle w:val="ListParagraph"/>
        <w:numPr>
          <w:ilvl w:val="2"/>
          <w:numId w:val="10"/>
        </w:numPr>
        <w:tabs>
          <w:tab w:val="clear" w:pos="2160"/>
          <w:tab w:val="num" w:pos="2136"/>
        </w:tabs>
        <w:ind w:left="2136" w:hanging="263"/>
        <w:rPr>
          <w:sz w:val="24"/>
          <w:szCs w:val="24"/>
        </w:rPr>
      </w:pPr>
      <w:r>
        <w:rPr>
          <w:rFonts w:ascii="Trebuchet MS"/>
          <w:sz w:val="24"/>
          <w:szCs w:val="24"/>
        </w:rPr>
        <w:t>Any touching or non-touching sexual interaction that is (a) nonconsensual or forced, (b) coerced or manipulated, or (c) perpetrated in an aggressive, harassing, exploitative or threatening manner;</w:t>
      </w:r>
    </w:p>
    <w:p w:rsidR="0060504B" w:rsidRDefault="00827800">
      <w:pPr>
        <w:pStyle w:val="ListParagraph"/>
        <w:numPr>
          <w:ilvl w:val="2"/>
          <w:numId w:val="10"/>
        </w:numPr>
        <w:tabs>
          <w:tab w:val="clear" w:pos="2160"/>
          <w:tab w:val="num" w:pos="2136"/>
        </w:tabs>
        <w:ind w:left="2136" w:hanging="263"/>
        <w:rPr>
          <w:sz w:val="24"/>
          <w:szCs w:val="24"/>
        </w:rPr>
      </w:pPr>
      <w:r>
        <w:rPr>
          <w:rFonts w:ascii="Trebuchet MS"/>
          <w:sz w:val="24"/>
          <w:szCs w:val="24"/>
        </w:rPr>
        <w:t>Any sexual interaction between an athlete and an individual with evaluative, direct or indirect authority.  Such relationships involve an imbalance of power and are likely to impair judgment or be exploitative; or</w:t>
      </w:r>
    </w:p>
    <w:p w:rsidR="0060504B" w:rsidRDefault="00827800">
      <w:pPr>
        <w:pStyle w:val="ListParagraph"/>
        <w:numPr>
          <w:ilvl w:val="2"/>
          <w:numId w:val="10"/>
        </w:numPr>
        <w:tabs>
          <w:tab w:val="clear" w:pos="2160"/>
          <w:tab w:val="num" w:pos="2136"/>
        </w:tabs>
        <w:ind w:left="2136" w:hanging="263"/>
        <w:rPr>
          <w:sz w:val="24"/>
          <w:szCs w:val="24"/>
        </w:rPr>
      </w:pPr>
      <w:r>
        <w:rPr>
          <w:rFonts w:ascii="Trebuchet MS"/>
          <w:sz w:val="24"/>
          <w:szCs w:val="24"/>
        </w:rPr>
        <w:t>Any act or conduct described as sexual abuse or misconduct under federal or state law (e.g., sexual abuse, sexual exploitation, rape).</w:t>
      </w:r>
    </w:p>
    <w:p w:rsidR="0060504B" w:rsidRDefault="00827800">
      <w:pPr>
        <w:pStyle w:val="Body"/>
        <w:ind w:left="720"/>
        <w:rPr>
          <w:b/>
          <w:bCs/>
          <w:sz w:val="24"/>
          <w:szCs w:val="24"/>
        </w:rPr>
      </w:pPr>
      <w:r>
        <w:rPr>
          <w:b/>
          <w:bCs/>
          <w:sz w:val="24"/>
          <w:szCs w:val="24"/>
        </w:rPr>
        <w:t>Note:  An imbalance of power is always assumed between a coach and an athlete.</w:t>
      </w:r>
    </w:p>
    <w:p w:rsidR="0060504B" w:rsidRDefault="00827800">
      <w:pPr>
        <w:pStyle w:val="Body"/>
        <w:ind w:left="720"/>
        <w:rPr>
          <w:sz w:val="24"/>
          <w:szCs w:val="24"/>
        </w:rPr>
      </w:pPr>
      <w:r>
        <w:rPr>
          <w:rFonts w:ascii="Trebuchet MS"/>
          <w:sz w:val="24"/>
          <w:szCs w:val="24"/>
        </w:rPr>
        <w:t>Additional details regarding each type of misconduct described above can be found in the SafeSport Code for the U.S. Olympic and Paralympic Movement (</w:t>
      </w:r>
      <w:hyperlink r:id="rId8" w:history="1">
        <w:r>
          <w:rPr>
            <w:rStyle w:val="Hyperlink0"/>
            <w:rFonts w:ascii="Trebuchet MS"/>
          </w:rPr>
          <w:t>www.safesport.org</w:t>
        </w:r>
      </w:hyperlink>
      <w:r>
        <w:rPr>
          <w:rFonts w:ascii="Trebuchet MS"/>
          <w:sz w:val="24"/>
          <w:szCs w:val="24"/>
        </w:rPr>
        <w:t>)</w:t>
      </w:r>
    </w:p>
    <w:p w:rsidR="0060504B" w:rsidRDefault="00827800">
      <w:pPr>
        <w:pStyle w:val="Body"/>
        <w:ind w:left="720"/>
        <w:rPr>
          <w:sz w:val="24"/>
          <w:szCs w:val="24"/>
        </w:rPr>
      </w:pPr>
      <w:r>
        <w:rPr>
          <w:rFonts w:ascii="Trebuchet MS"/>
          <w:sz w:val="24"/>
          <w:szCs w:val="24"/>
        </w:rPr>
        <w:t>Additionally, prohibited misconduct shall include, without limitation, the following:</w:t>
      </w:r>
    </w:p>
    <w:p w:rsidR="0060504B" w:rsidRDefault="00827800">
      <w:pPr>
        <w:pStyle w:val="Body"/>
        <w:ind w:left="720"/>
        <w:rPr>
          <w:sz w:val="24"/>
          <w:szCs w:val="24"/>
        </w:rPr>
      </w:pPr>
      <w:r>
        <w:rPr>
          <w:rFonts w:ascii="Trebuchet MS"/>
          <w:sz w:val="24"/>
          <w:szCs w:val="24"/>
        </w:rPr>
        <w:lastRenderedPageBreak/>
        <w:t>Romantic or sexual relationships, which began during the sports relationship, between athletes and or other participants and those individuals (</w:t>
      </w:r>
      <w:proofErr w:type="spellStart"/>
      <w:r>
        <w:rPr>
          <w:rFonts w:ascii="Trebuchet MS"/>
          <w:sz w:val="24"/>
          <w:szCs w:val="24"/>
        </w:rPr>
        <w:t>i</w:t>
      </w:r>
      <w:proofErr w:type="spellEnd"/>
      <w:r>
        <w:rPr>
          <w:rFonts w:ascii="Trebuchet MS"/>
          <w:sz w:val="24"/>
          <w:szCs w:val="24"/>
        </w:rPr>
        <w:t>) with direct supervisory or evaluative control, or (ii) are in a position of power and trust over the athlete or other participant.  Except in circumstances where no imbalance of power exists, coaches have this direct supervisory or evaluative control and are in a position of power and trust over those athletes or participants they coach.</w:t>
      </w:r>
    </w:p>
    <w:p w:rsidR="0060504B" w:rsidRDefault="00827800">
      <w:pPr>
        <w:pStyle w:val="Body"/>
        <w:ind w:left="720"/>
        <w:rPr>
          <w:sz w:val="24"/>
          <w:szCs w:val="24"/>
        </w:rPr>
      </w:pPr>
      <w:r>
        <w:rPr>
          <w:rFonts w:ascii="Trebuchet MS"/>
          <w:sz w:val="24"/>
          <w:szCs w:val="24"/>
        </w:rPr>
        <w:t xml:space="preserve">The prohibition on romantic or sexual relationships does not include those relationships where it can be demonstrated there is no imbalance of power.  For example, this prohibition does not apply to a pre-existing relationship between two spouses or life partners.  </w:t>
      </w:r>
    </w:p>
    <w:p w:rsidR="0060504B" w:rsidRDefault="00827800">
      <w:pPr>
        <w:pStyle w:val="ListParagraph"/>
        <w:numPr>
          <w:ilvl w:val="0"/>
          <w:numId w:val="3"/>
        </w:numPr>
        <w:tabs>
          <w:tab w:val="clear" w:pos="720"/>
          <w:tab w:val="num" w:pos="690"/>
        </w:tabs>
        <w:ind w:left="690" w:hanging="330"/>
        <w:rPr>
          <w:rFonts w:ascii="Trebuchet MS Bold" w:eastAsia="Trebuchet MS Bold" w:hAnsi="Trebuchet MS Bold" w:cs="Trebuchet MS Bold"/>
          <w:b/>
          <w:bCs/>
          <w:sz w:val="24"/>
          <w:szCs w:val="24"/>
        </w:rPr>
      </w:pPr>
      <w:r>
        <w:rPr>
          <w:b/>
          <w:bCs/>
          <w:sz w:val="24"/>
          <w:szCs w:val="24"/>
          <w:u w:val="single"/>
        </w:rPr>
        <w:t>Criminal Background Checks:</w:t>
      </w:r>
    </w:p>
    <w:p w:rsidR="0060504B" w:rsidRDefault="00827800">
      <w:pPr>
        <w:pStyle w:val="Body"/>
        <w:ind w:left="720"/>
        <w:rPr>
          <w:sz w:val="24"/>
          <w:szCs w:val="24"/>
        </w:rPr>
      </w:pPr>
      <w:r>
        <w:rPr>
          <w:rFonts w:ascii="Trebuchet MS"/>
          <w:sz w:val="24"/>
          <w:szCs w:val="24"/>
        </w:rPr>
        <w:t>USABA shall require criminal background checks, at least every two years, for all employed and contracted staff and volunteers who are in a position over, or have frequent contact with athlete participants which includes applicable employees, contractual staff, coaches,</w:t>
      </w:r>
      <w:r w:rsidR="00DE4BBF">
        <w:rPr>
          <w:rFonts w:ascii="Trebuchet MS"/>
          <w:sz w:val="24"/>
          <w:szCs w:val="24"/>
        </w:rPr>
        <w:t xml:space="preserve"> guides, pilots,</w:t>
      </w:r>
      <w:r>
        <w:rPr>
          <w:rFonts w:ascii="Trebuchet MS"/>
          <w:sz w:val="24"/>
          <w:szCs w:val="24"/>
        </w:rPr>
        <w:t xml:space="preserve"> and USABA referees who have direct supervision over athletes.  Additionally, criminal background checks are required for any non-athlete individual who stay or work at Olympic Training Centers or at USABA</w:t>
      </w:r>
      <w:r>
        <w:rPr>
          <w:rFonts w:hAnsi="Trebuchet MS"/>
          <w:sz w:val="24"/>
          <w:szCs w:val="24"/>
        </w:rPr>
        <w:t>’</w:t>
      </w:r>
      <w:r>
        <w:rPr>
          <w:rFonts w:ascii="Trebuchet MS"/>
          <w:sz w:val="24"/>
          <w:szCs w:val="24"/>
        </w:rPr>
        <w:t>s Goalball Residential Training Program housing.  USABA will accept current and favorable background checks from the National Center for Safety Initiatives (NCSI) and other reputable background check organizations.</w:t>
      </w:r>
    </w:p>
    <w:p w:rsidR="0060504B" w:rsidRDefault="00827800">
      <w:pPr>
        <w:pStyle w:val="Body"/>
        <w:rPr>
          <w:sz w:val="24"/>
          <w:szCs w:val="24"/>
        </w:rPr>
      </w:pPr>
      <w:r>
        <w:rPr>
          <w:b/>
          <w:bCs/>
          <w:sz w:val="24"/>
          <w:szCs w:val="24"/>
        </w:rPr>
        <w:t xml:space="preserve">      3.   </w:t>
      </w:r>
      <w:r>
        <w:rPr>
          <w:b/>
          <w:bCs/>
          <w:sz w:val="24"/>
          <w:szCs w:val="24"/>
          <w:u w:val="single"/>
        </w:rPr>
        <w:t>Education and Training:</w:t>
      </w:r>
      <w:r>
        <w:rPr>
          <w:sz w:val="24"/>
          <w:szCs w:val="24"/>
        </w:rPr>
        <w:tab/>
      </w:r>
    </w:p>
    <w:p w:rsidR="0060504B" w:rsidRDefault="00827800">
      <w:pPr>
        <w:pStyle w:val="Body"/>
        <w:ind w:left="720" w:hanging="360"/>
        <w:rPr>
          <w:sz w:val="24"/>
          <w:szCs w:val="24"/>
        </w:rPr>
      </w:pPr>
      <w:r>
        <w:rPr>
          <w:rFonts w:ascii="Trebuchet MS"/>
          <w:sz w:val="24"/>
          <w:szCs w:val="24"/>
        </w:rPr>
        <w:tab/>
        <w:t>Effective with the issuance of this policy, USABA shall require education and training concerning the key elements of this athlete safety policy and the USOC SafeSport program for applicable employees, contractual staff, coaches</w:t>
      </w:r>
      <w:r w:rsidR="00E428A7">
        <w:rPr>
          <w:rFonts w:ascii="Trebuchet MS"/>
          <w:sz w:val="24"/>
          <w:szCs w:val="24"/>
        </w:rPr>
        <w:t>, guides, pilots</w:t>
      </w:r>
      <w:r>
        <w:rPr>
          <w:rFonts w:ascii="Trebuchet MS"/>
          <w:sz w:val="24"/>
          <w:szCs w:val="24"/>
        </w:rPr>
        <w:t xml:space="preserve"> and USABA referees who have direct supervision over athletes.  Training will include review of this policy document and completion of USOC SafeSport training.  This policy also extends to any non-athlete USABA authorizes to train, reside or work at USABA Goalball Resident Program housing.  Individuals will be required to demonstrate successful completion of USOC SafeSport Training before being granted access to attending USABA sanctioned events and to Olympic Training Centers or USABA Goalball Resident Program housing.  This policy document, a link to access USOC SafeSport training will be posted in a prominent location on the USABA website and mentioned in periodic USABA newsletters. </w:t>
      </w:r>
    </w:p>
    <w:p w:rsidR="0060504B" w:rsidRDefault="00827800">
      <w:pPr>
        <w:pStyle w:val="Body"/>
        <w:ind w:left="720" w:hanging="360"/>
        <w:rPr>
          <w:b/>
          <w:bCs/>
          <w:sz w:val="24"/>
          <w:szCs w:val="24"/>
          <w:u w:val="single"/>
        </w:rPr>
      </w:pPr>
      <w:r>
        <w:rPr>
          <w:b/>
          <w:bCs/>
          <w:sz w:val="24"/>
          <w:szCs w:val="24"/>
        </w:rPr>
        <w:t xml:space="preserve">4.  </w:t>
      </w:r>
      <w:r>
        <w:rPr>
          <w:b/>
          <w:bCs/>
          <w:sz w:val="24"/>
          <w:szCs w:val="24"/>
          <w:u w:val="single"/>
        </w:rPr>
        <w:t>Reporting:</w:t>
      </w:r>
    </w:p>
    <w:p w:rsidR="0060504B" w:rsidRDefault="00827800">
      <w:pPr>
        <w:pStyle w:val="Body"/>
        <w:ind w:left="720"/>
        <w:rPr>
          <w:sz w:val="24"/>
          <w:szCs w:val="24"/>
        </w:rPr>
      </w:pPr>
      <w:r>
        <w:rPr>
          <w:rFonts w:ascii="Trebuchet MS"/>
          <w:sz w:val="24"/>
          <w:szCs w:val="24"/>
        </w:rPr>
        <w:t>The process for issuing a report of complaint or accusation of misconduct from a USABA employee, contractual staff member, coach,</w:t>
      </w:r>
      <w:r w:rsidR="00E428A7">
        <w:rPr>
          <w:rFonts w:ascii="Trebuchet MS"/>
          <w:sz w:val="24"/>
          <w:szCs w:val="24"/>
        </w:rPr>
        <w:t xml:space="preserve"> guide, pilot</w:t>
      </w:r>
      <w:r>
        <w:rPr>
          <w:rFonts w:ascii="Trebuchet MS"/>
          <w:sz w:val="24"/>
          <w:szCs w:val="24"/>
        </w:rPr>
        <w:t xml:space="preserve"> and referee who have direct supervision over athletes will be to report such to the USABA Executive Director or USABA Assistant Executive Director, and when applicable, to local law enforcement authorities.  </w:t>
      </w:r>
      <w:r w:rsidR="005B5FFF">
        <w:rPr>
          <w:rFonts w:ascii="Trebuchet MS"/>
          <w:sz w:val="24"/>
          <w:szCs w:val="24"/>
        </w:rPr>
        <w:t>N</w:t>
      </w:r>
      <w:r w:rsidR="005B5FFF" w:rsidRPr="005B5FFF">
        <w:rPr>
          <w:rFonts w:ascii="Trebuchet MS"/>
          <w:sz w:val="24"/>
          <w:szCs w:val="24"/>
        </w:rPr>
        <w:t xml:space="preserve">o direct fees or other cost is involved in making a report. </w:t>
      </w:r>
      <w:r w:rsidR="005B5FFF">
        <w:rPr>
          <w:rFonts w:ascii="Trebuchet MS"/>
          <w:sz w:val="24"/>
          <w:szCs w:val="24"/>
        </w:rPr>
        <w:t xml:space="preserve"> </w:t>
      </w:r>
      <w:r>
        <w:rPr>
          <w:rFonts w:ascii="Trebuchet MS"/>
          <w:sz w:val="24"/>
          <w:szCs w:val="24"/>
        </w:rPr>
        <w:t>Contact your local authorities if you have a reasonable suspicion that child sexual abuse or neglect has</w:t>
      </w:r>
      <w:bookmarkStart w:id="0" w:name="_GoBack"/>
      <w:bookmarkEnd w:id="0"/>
      <w:r>
        <w:rPr>
          <w:rFonts w:ascii="Trebuchet MS"/>
          <w:sz w:val="24"/>
          <w:szCs w:val="24"/>
        </w:rPr>
        <w:t xml:space="preserve"> occurred.  All reports of child abuse or sexual assault of a minor must also be reported to local authorities.  Reports of abuse not involving a minor may also be reported to local authorities. Reports to USABA </w:t>
      </w:r>
      <w:r>
        <w:rPr>
          <w:rFonts w:ascii="Trebuchet MS"/>
          <w:sz w:val="24"/>
          <w:szCs w:val="24"/>
        </w:rPr>
        <w:lastRenderedPageBreak/>
        <w:t xml:space="preserve">may be anonymous; </w:t>
      </w:r>
      <w:proofErr w:type="gramStart"/>
      <w:r>
        <w:rPr>
          <w:rFonts w:ascii="Trebuchet MS"/>
          <w:sz w:val="24"/>
          <w:szCs w:val="24"/>
        </w:rPr>
        <w:t>however</w:t>
      </w:r>
      <w:proofErr w:type="gramEnd"/>
      <w:r>
        <w:rPr>
          <w:rFonts w:ascii="Trebuchet MS"/>
          <w:sz w:val="24"/>
          <w:szCs w:val="24"/>
        </w:rPr>
        <w:t xml:space="preserve"> to assist in investigation, they will be encouraged to be made with the identity of the accuser or reporter being identified.  This process will be included in the training and education described above.  USABA will establish and ensure a reporting process for complaints issued and the findings.  If a report is associated with USABA</w:t>
      </w:r>
      <w:r>
        <w:rPr>
          <w:rFonts w:hAnsi="Trebuchet MS"/>
          <w:sz w:val="24"/>
          <w:szCs w:val="24"/>
        </w:rPr>
        <w:t>’</w:t>
      </w:r>
      <w:r>
        <w:rPr>
          <w:rFonts w:ascii="Trebuchet MS"/>
          <w:sz w:val="24"/>
          <w:szCs w:val="24"/>
        </w:rPr>
        <w:t>s role as a USOC Multi-Sport Organization or with USABA</w:t>
      </w:r>
      <w:r>
        <w:rPr>
          <w:rFonts w:hAnsi="Trebuchet MS"/>
          <w:sz w:val="24"/>
          <w:szCs w:val="24"/>
        </w:rPr>
        <w:t>’</w:t>
      </w:r>
      <w:r>
        <w:rPr>
          <w:rFonts w:ascii="Trebuchet MS"/>
          <w:sz w:val="24"/>
          <w:szCs w:val="24"/>
        </w:rPr>
        <w:t xml:space="preserve">s role as a USOC High Performance Management Organization for goalball, reports shall be made to the USOC and any applicable legal agencies as appropriate.  A link to report complaints or accusations will be included in the USABA website in a prominent place along with links for training materials.  </w:t>
      </w:r>
    </w:p>
    <w:p w:rsidR="0060504B" w:rsidRDefault="00827800">
      <w:pPr>
        <w:pStyle w:val="Body"/>
        <w:ind w:left="720"/>
        <w:rPr>
          <w:sz w:val="24"/>
          <w:szCs w:val="24"/>
        </w:rPr>
      </w:pPr>
      <w:r>
        <w:rPr>
          <w:rFonts w:ascii="Trebuchet MS"/>
          <w:sz w:val="24"/>
          <w:szCs w:val="24"/>
        </w:rPr>
        <w:t xml:space="preserve">Report misconduct to USABA: </w:t>
      </w:r>
    </w:p>
    <w:p w:rsidR="0060504B" w:rsidRDefault="00827800">
      <w:pPr>
        <w:pStyle w:val="ListParagraph"/>
        <w:numPr>
          <w:ilvl w:val="0"/>
          <w:numId w:val="13"/>
        </w:numPr>
        <w:tabs>
          <w:tab w:val="clear" w:pos="1440"/>
          <w:tab w:val="num" w:pos="1410"/>
        </w:tabs>
        <w:ind w:left="1410" w:hanging="330"/>
      </w:pPr>
      <w:r>
        <w:rPr>
          <w:rFonts w:ascii="Trebuchet MS"/>
          <w:sz w:val="24"/>
          <w:szCs w:val="24"/>
        </w:rPr>
        <w:t xml:space="preserve">Phone Number </w:t>
      </w:r>
      <w:r>
        <w:rPr>
          <w:rFonts w:hAnsi="Trebuchet MS"/>
          <w:sz w:val="24"/>
          <w:szCs w:val="24"/>
        </w:rPr>
        <w:t>–</w:t>
      </w:r>
      <w:r>
        <w:rPr>
          <w:rFonts w:hAnsi="Trebuchet MS"/>
          <w:sz w:val="24"/>
          <w:szCs w:val="24"/>
        </w:rPr>
        <w:t xml:space="preserve"> </w:t>
      </w:r>
      <w:r>
        <w:rPr>
          <w:rFonts w:ascii="Trebuchet MS"/>
          <w:sz w:val="24"/>
          <w:szCs w:val="24"/>
        </w:rPr>
        <w:t>(719) 866 3224 (calls directed to Executive Director or Assistant Executive Director)</w:t>
      </w:r>
    </w:p>
    <w:p w:rsidR="0060504B" w:rsidRDefault="00827800">
      <w:pPr>
        <w:pStyle w:val="ListParagraph"/>
        <w:numPr>
          <w:ilvl w:val="0"/>
          <w:numId w:val="14"/>
        </w:numPr>
        <w:tabs>
          <w:tab w:val="clear" w:pos="1440"/>
          <w:tab w:val="num" w:pos="1410"/>
        </w:tabs>
        <w:ind w:left="1410" w:hanging="330"/>
      </w:pPr>
      <w:r>
        <w:rPr>
          <w:rFonts w:ascii="Trebuchet MS"/>
          <w:sz w:val="24"/>
          <w:szCs w:val="24"/>
        </w:rPr>
        <w:t xml:space="preserve">Email </w:t>
      </w:r>
      <w:r>
        <w:rPr>
          <w:rFonts w:hAnsi="Trebuchet MS"/>
          <w:sz w:val="24"/>
          <w:szCs w:val="24"/>
        </w:rPr>
        <w:t>–</w:t>
      </w:r>
      <w:r>
        <w:rPr>
          <w:rFonts w:hAnsi="Trebuchet MS"/>
          <w:sz w:val="24"/>
          <w:szCs w:val="24"/>
        </w:rPr>
        <w:t xml:space="preserve"> </w:t>
      </w:r>
      <w:hyperlink r:id="rId9" w:history="1">
        <w:r>
          <w:rPr>
            <w:rStyle w:val="Hyperlink0"/>
            <w:rFonts w:ascii="Trebuchet MS"/>
          </w:rPr>
          <w:t>Staff Directory</w:t>
        </w:r>
      </w:hyperlink>
      <w:r>
        <w:rPr>
          <w:rFonts w:ascii="Trebuchet MS"/>
          <w:sz w:val="24"/>
          <w:szCs w:val="24"/>
        </w:rPr>
        <w:t xml:space="preserve"> (emails directed to Executive Director or Assistant Executive Director)</w:t>
      </w:r>
    </w:p>
    <w:p w:rsidR="0060504B" w:rsidRDefault="00827800">
      <w:pPr>
        <w:pStyle w:val="Body"/>
        <w:rPr>
          <w:b/>
          <w:bCs/>
          <w:sz w:val="24"/>
          <w:szCs w:val="24"/>
          <w:u w:val="single"/>
        </w:rPr>
      </w:pPr>
      <w:r>
        <w:rPr>
          <w:b/>
          <w:bCs/>
          <w:sz w:val="24"/>
          <w:szCs w:val="24"/>
        </w:rPr>
        <w:t xml:space="preserve">       5.</w:t>
      </w:r>
      <w:r>
        <w:rPr>
          <w:sz w:val="24"/>
          <w:szCs w:val="24"/>
        </w:rPr>
        <w:t xml:space="preserve">  </w:t>
      </w:r>
      <w:r>
        <w:rPr>
          <w:b/>
          <w:bCs/>
          <w:sz w:val="24"/>
          <w:szCs w:val="24"/>
          <w:u w:val="single"/>
        </w:rPr>
        <w:t>Enforcement:</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u w:val="single"/>
        </w:rPr>
      </w:pPr>
      <w:r>
        <w:rPr>
          <w:rFonts w:ascii="Trebuchet MS"/>
          <w:sz w:val="24"/>
          <w:szCs w:val="24"/>
        </w:rPr>
        <w:t>USABA</w:t>
      </w:r>
      <w:r>
        <w:rPr>
          <w:rFonts w:hAnsi="Trebuchet MS"/>
          <w:sz w:val="24"/>
          <w:szCs w:val="24"/>
        </w:rPr>
        <w:t>’</w:t>
      </w:r>
      <w:r>
        <w:rPr>
          <w:rFonts w:ascii="Trebuchet MS"/>
          <w:sz w:val="24"/>
          <w:szCs w:val="24"/>
        </w:rPr>
        <w:t>s Grievance, Complaint and Appeal Procedures (</w:t>
      </w:r>
      <w:hyperlink r:id="rId10" w:history="1">
        <w:r>
          <w:rPr>
            <w:rStyle w:val="Hyperlink1"/>
          </w:rPr>
          <w:t>www.usaba.org</w:t>
        </w:r>
      </w:hyperlink>
      <w:r>
        <w:rPr>
          <w:rFonts w:ascii="Trebuchet MS"/>
          <w:sz w:val="24"/>
          <w:szCs w:val="24"/>
        </w:rPr>
        <w:t>) as referenced in the previous section, are materially free of bias and conflicts of interest, to address allegations of misconduct following the report of complaint of misconduct which were adjudicated under a criminal background check.</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u w:val="single"/>
        </w:rPr>
      </w:pPr>
      <w:r>
        <w:rPr>
          <w:rFonts w:ascii="Trebuchet MS"/>
          <w:sz w:val="24"/>
          <w:szCs w:val="24"/>
        </w:rPr>
        <w:t>In cases where the Ted Stevens Act applies, USABA will comply with the Act</w:t>
      </w:r>
      <w:r>
        <w:rPr>
          <w:rFonts w:hAnsi="Trebuchet MS"/>
          <w:sz w:val="24"/>
          <w:szCs w:val="24"/>
        </w:rPr>
        <w:t>’</w:t>
      </w:r>
      <w:r>
        <w:rPr>
          <w:rFonts w:ascii="Trebuchet MS"/>
          <w:sz w:val="24"/>
          <w:szCs w:val="24"/>
        </w:rPr>
        <w:t xml:space="preserve">s requirements.  </w:t>
      </w:r>
    </w:p>
    <w:p w:rsidR="0060504B" w:rsidRDefault="00827800">
      <w:pPr>
        <w:pStyle w:val="ListParagraph"/>
        <w:numPr>
          <w:ilvl w:val="1"/>
          <w:numId w:val="3"/>
        </w:numPr>
        <w:tabs>
          <w:tab w:val="clear" w:pos="1440"/>
          <w:tab w:val="num" w:pos="1410"/>
        </w:tabs>
        <w:ind w:left="1410" w:hanging="330"/>
        <w:rPr>
          <w:rFonts w:ascii="Trebuchet MS Bold" w:eastAsia="Trebuchet MS Bold" w:hAnsi="Trebuchet MS Bold" w:cs="Trebuchet MS Bold"/>
          <w:b/>
          <w:bCs/>
          <w:sz w:val="24"/>
          <w:szCs w:val="24"/>
          <w:u w:val="single"/>
        </w:rPr>
      </w:pPr>
      <w:r>
        <w:rPr>
          <w:rFonts w:ascii="Trebuchet MS"/>
          <w:sz w:val="24"/>
          <w:szCs w:val="24"/>
        </w:rPr>
        <w:t>USABA</w:t>
      </w:r>
      <w:r>
        <w:rPr>
          <w:rFonts w:hAnsi="Trebuchet MS"/>
          <w:sz w:val="24"/>
          <w:szCs w:val="24"/>
        </w:rPr>
        <w:t>’</w:t>
      </w:r>
      <w:r>
        <w:rPr>
          <w:rFonts w:ascii="Trebuchet MS"/>
          <w:sz w:val="24"/>
          <w:szCs w:val="24"/>
        </w:rPr>
        <w:t>s Grievance, Complaint and Appeal Procedures shall include the opportunity for review by a disinterested individual or body.</w:t>
      </w:r>
    </w:p>
    <w:p w:rsidR="0060504B" w:rsidRDefault="00827800">
      <w:pPr>
        <w:pStyle w:val="Body"/>
        <w:rPr>
          <w:b/>
          <w:bCs/>
          <w:sz w:val="24"/>
          <w:szCs w:val="24"/>
        </w:rPr>
      </w:pPr>
      <w:r>
        <w:rPr>
          <w:b/>
          <w:bCs/>
          <w:sz w:val="24"/>
          <w:szCs w:val="24"/>
        </w:rPr>
        <w:t xml:space="preserve">     Additional Terms of This Policy:</w:t>
      </w:r>
    </w:p>
    <w:p w:rsidR="0060504B" w:rsidRDefault="00827800">
      <w:pPr>
        <w:pStyle w:val="Body"/>
        <w:ind w:left="720"/>
        <w:rPr>
          <w:sz w:val="24"/>
          <w:szCs w:val="24"/>
        </w:rPr>
      </w:pPr>
      <w:r>
        <w:rPr>
          <w:rFonts w:ascii="Trebuchet MS"/>
          <w:sz w:val="24"/>
          <w:szCs w:val="24"/>
        </w:rPr>
        <w:t xml:space="preserve">This athlete safety policy may be amended from time to time by the USOC.  Additionally, USABA shall be guided by the principle that the health, safety and well-being of our athletes are fundamental elements of our managerial responsibility.  </w:t>
      </w:r>
    </w:p>
    <w:p w:rsidR="0060504B" w:rsidRDefault="00827800">
      <w:pPr>
        <w:pStyle w:val="Body"/>
        <w:ind w:left="720"/>
        <w:rPr>
          <w:sz w:val="24"/>
          <w:szCs w:val="24"/>
        </w:rPr>
      </w:pPr>
      <w:r>
        <w:rPr>
          <w:rFonts w:ascii="Trebuchet MS"/>
          <w:sz w:val="24"/>
          <w:szCs w:val="24"/>
        </w:rPr>
        <w:t xml:space="preserve">USABA understands that failure to meet the minimum standards as set forth by this policy may result in disciplinary action by the USOC including, without limitation, loss of status as a USOC Multi-Sport Organization and loss of status and USOC support as the </w:t>
      </w:r>
      <w:proofErr w:type="gramStart"/>
      <w:r>
        <w:rPr>
          <w:rFonts w:ascii="Trebuchet MS"/>
          <w:sz w:val="24"/>
          <w:szCs w:val="24"/>
        </w:rPr>
        <w:t>High Performance</w:t>
      </w:r>
      <w:proofErr w:type="gramEnd"/>
      <w:r>
        <w:rPr>
          <w:rFonts w:ascii="Trebuchet MS"/>
          <w:sz w:val="24"/>
          <w:szCs w:val="24"/>
        </w:rPr>
        <w:t xml:space="preserve"> Management Organization for goalball.</w:t>
      </w:r>
    </w:p>
    <w:p w:rsidR="0060504B" w:rsidRDefault="00827800">
      <w:pPr>
        <w:pStyle w:val="Body"/>
        <w:ind w:left="720"/>
      </w:pPr>
      <w:r>
        <w:rPr>
          <w:rFonts w:ascii="Trebuchet MS"/>
          <w:sz w:val="24"/>
          <w:szCs w:val="24"/>
        </w:rPr>
        <w:t xml:space="preserve">Additionally, an individual who has committed a SafeSport violation who receives USOC benefits may, at the discretion, lose those benefits.  Benefits that may be lost or restricted may include, but are not limited to, athlete support payments, tuition grants, use of and residence at Olympic Training Centers (including the Goalball Center of Excellence Resident housing), elite athlete health insurance, alumni relations programs, athlete marketing programs, athlete ambassador programs, athlete service centers, career assistance </w:t>
      </w:r>
      <w:r>
        <w:rPr>
          <w:rFonts w:ascii="Trebuchet MS"/>
          <w:sz w:val="24"/>
          <w:szCs w:val="24"/>
        </w:rPr>
        <w:lastRenderedPageBreak/>
        <w:t xml:space="preserve">programs, media services, USOC workshops, conferences and summits, personal development programs, sports medicine and performance services, and sports coaching and education programs.  Additionally, individuals may lose opportunities to participate in or be associated with the U.S. delegation at a Delegation Event and any other competition or event as determined by the USOC.  </w:t>
      </w:r>
    </w:p>
    <w:sectPr w:rsidR="0060504B">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65" w:rsidRDefault="00DD5365">
      <w:r>
        <w:separator/>
      </w:r>
    </w:p>
  </w:endnote>
  <w:endnote w:type="continuationSeparator" w:id="0">
    <w:p w:rsidR="00DD5365" w:rsidRDefault="00DD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Bold">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FF" w:rsidRDefault="00827800">
    <w:pPr>
      <w:pStyle w:val="Footer"/>
      <w:rPr>
        <w:rFonts w:ascii="Trebuchet MS"/>
        <w:sz w:val="18"/>
        <w:szCs w:val="18"/>
      </w:rPr>
    </w:pPr>
    <w:r w:rsidRPr="005B5FFF">
      <w:rPr>
        <w:rFonts w:ascii="Trebuchet MS"/>
        <w:sz w:val="18"/>
        <w:szCs w:val="18"/>
      </w:rPr>
      <w:t xml:space="preserve">United States Association of Blind Athletes Athlete Safety Policy </w:t>
    </w:r>
  </w:p>
  <w:p w:rsidR="0060504B" w:rsidRPr="005B5FFF" w:rsidRDefault="00827800">
    <w:pPr>
      <w:pStyle w:val="Footer"/>
      <w:rPr>
        <w:rFonts w:ascii="Trebuchet MS"/>
      </w:rPr>
    </w:pPr>
    <w:r w:rsidRPr="005B5FFF">
      <w:rPr>
        <w:rFonts w:ascii="Trebuchet MS"/>
        <w:sz w:val="18"/>
        <w:szCs w:val="18"/>
      </w:rPr>
      <w:t>(</w:t>
    </w:r>
    <w:r w:rsidR="005B5FFF" w:rsidRPr="005B5FFF">
      <w:rPr>
        <w:rFonts w:ascii="Trebuchet MS"/>
        <w:sz w:val="18"/>
        <w:szCs w:val="18"/>
      </w:rPr>
      <w:t xml:space="preserve">approved on </w:t>
    </w:r>
    <w:r w:rsidRPr="005B5FFF">
      <w:rPr>
        <w:rFonts w:ascii="Trebuchet MS"/>
        <w:sz w:val="18"/>
        <w:szCs w:val="18"/>
      </w:rPr>
      <w:t>November 3, 2017</w:t>
    </w:r>
    <w:r w:rsidR="005B5FFF">
      <w:rPr>
        <w:rFonts w:ascii="Trebuchet MS"/>
        <w:sz w:val="18"/>
        <w:szCs w:val="18"/>
      </w:rPr>
      <w:t>,</w:t>
    </w:r>
    <w:r w:rsidR="005B5FFF" w:rsidRPr="005B5FFF">
      <w:rPr>
        <w:rFonts w:ascii="Trebuchet MS"/>
        <w:sz w:val="18"/>
        <w:szCs w:val="18"/>
      </w:rPr>
      <w:t xml:space="preserve"> and amended per USOC Athlete Safety Policy updates on December 1</w:t>
    </w:r>
    <w:r w:rsidR="00DE4BBF">
      <w:rPr>
        <w:rFonts w:ascii="Trebuchet MS"/>
        <w:sz w:val="18"/>
        <w:szCs w:val="18"/>
      </w:rPr>
      <w:t>8</w:t>
    </w:r>
    <w:r w:rsidR="005B5FFF" w:rsidRPr="005B5FFF">
      <w:rPr>
        <w:rFonts w:ascii="Trebuchet MS"/>
        <w:sz w:val="18"/>
        <w:szCs w:val="18"/>
      </w:rPr>
      <w:t>, 2017</w:t>
    </w:r>
    <w:r w:rsidRPr="005B5FFF">
      <w:rPr>
        <w:rFonts w:ascii="Trebuchet MS"/>
        <w:sz w:val="18"/>
        <w:szCs w:val="18"/>
      </w:rPr>
      <w:t>)</w:t>
    </w:r>
    <w:r>
      <w:rPr>
        <w:rFonts w:ascii="Trebuchet MS"/>
      </w:rPr>
      <w:tab/>
    </w:r>
    <w:r w:rsidR="005B5FFF">
      <w:rPr>
        <w:rFonts w:ascii="Trebuchet MS"/>
      </w:rPr>
      <w:tab/>
    </w:r>
    <w:r>
      <w:rPr>
        <w:rFonts w:ascii="Trebuchet MS"/>
      </w:rPr>
      <w:t xml:space="preserve">Page </w:t>
    </w:r>
    <w:r>
      <w:fldChar w:fldCharType="begin"/>
    </w:r>
    <w:r>
      <w:instrText xml:space="preserve"> PAGE </w:instrText>
    </w:r>
    <w:r>
      <w:fldChar w:fldCharType="separate"/>
    </w:r>
    <w:r w:rsidR="00E428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65" w:rsidRDefault="00DD5365">
      <w:r>
        <w:separator/>
      </w:r>
    </w:p>
  </w:footnote>
  <w:footnote w:type="continuationSeparator" w:id="0">
    <w:p w:rsidR="00DD5365" w:rsidRDefault="00DD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71"/>
    <w:multiLevelType w:val="multilevel"/>
    <w:tmpl w:val="6A2475E8"/>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87"/>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 w15:restartNumberingAfterBreak="0">
    <w:nsid w:val="023137B1"/>
    <w:multiLevelType w:val="multilevel"/>
    <w:tmpl w:val="9F6EBB40"/>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87"/>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 w15:restartNumberingAfterBreak="0">
    <w:nsid w:val="072428CE"/>
    <w:multiLevelType w:val="multilevel"/>
    <w:tmpl w:val="555ABB66"/>
    <w:styleLink w:val="List21"/>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160"/>
        </w:tabs>
        <w:ind w:left="2160" w:hanging="360"/>
      </w:pPr>
      <w:rPr>
        <w:position w:val="0"/>
        <w:sz w:val="24"/>
        <w:szCs w:val="24"/>
        <w:rtl w:val="0"/>
      </w:rPr>
    </w:lvl>
    <w:lvl w:ilvl="2">
      <w:start w:val="1"/>
      <w:numFmt w:val="bullet"/>
      <w:lvlText w:val="▪"/>
      <w:lvlJc w:val="left"/>
      <w:pPr>
        <w:tabs>
          <w:tab w:val="num" w:pos="2880"/>
        </w:tabs>
        <w:ind w:left="2880" w:hanging="360"/>
      </w:pPr>
      <w:rPr>
        <w:position w:val="0"/>
        <w:sz w:val="24"/>
        <w:szCs w:val="24"/>
        <w:rtl w:val="0"/>
      </w:rPr>
    </w:lvl>
    <w:lvl w:ilvl="3">
      <w:start w:val="1"/>
      <w:numFmt w:val="bullet"/>
      <w:lvlText w:val="•"/>
      <w:lvlJc w:val="left"/>
      <w:pPr>
        <w:tabs>
          <w:tab w:val="num" w:pos="3600"/>
        </w:tabs>
        <w:ind w:left="3600" w:hanging="360"/>
      </w:pPr>
      <w:rPr>
        <w:position w:val="0"/>
        <w:sz w:val="24"/>
        <w:szCs w:val="24"/>
        <w:rtl w:val="0"/>
      </w:rPr>
    </w:lvl>
    <w:lvl w:ilvl="4">
      <w:start w:val="1"/>
      <w:numFmt w:val="bullet"/>
      <w:lvlText w:val="o"/>
      <w:lvlJc w:val="left"/>
      <w:pPr>
        <w:tabs>
          <w:tab w:val="num" w:pos="4320"/>
        </w:tabs>
        <w:ind w:left="4320" w:hanging="360"/>
      </w:pPr>
      <w:rPr>
        <w:position w:val="0"/>
        <w:sz w:val="24"/>
        <w:szCs w:val="24"/>
        <w:rtl w:val="0"/>
      </w:rPr>
    </w:lvl>
    <w:lvl w:ilvl="5">
      <w:start w:val="1"/>
      <w:numFmt w:val="bullet"/>
      <w:lvlText w:val="▪"/>
      <w:lvlJc w:val="left"/>
      <w:pPr>
        <w:tabs>
          <w:tab w:val="num" w:pos="5040"/>
        </w:tabs>
        <w:ind w:left="5040" w:hanging="360"/>
      </w:pPr>
      <w:rPr>
        <w:position w:val="0"/>
        <w:sz w:val="24"/>
        <w:szCs w:val="24"/>
        <w:rtl w:val="0"/>
      </w:rPr>
    </w:lvl>
    <w:lvl w:ilvl="6">
      <w:start w:val="1"/>
      <w:numFmt w:val="bullet"/>
      <w:lvlText w:val="•"/>
      <w:lvlJc w:val="left"/>
      <w:pPr>
        <w:tabs>
          <w:tab w:val="num" w:pos="5760"/>
        </w:tabs>
        <w:ind w:left="5760" w:hanging="360"/>
      </w:pPr>
      <w:rPr>
        <w:position w:val="0"/>
        <w:sz w:val="24"/>
        <w:szCs w:val="24"/>
        <w:rtl w:val="0"/>
      </w:rPr>
    </w:lvl>
    <w:lvl w:ilvl="7">
      <w:start w:val="1"/>
      <w:numFmt w:val="bullet"/>
      <w:lvlText w:val="o"/>
      <w:lvlJc w:val="left"/>
      <w:pPr>
        <w:tabs>
          <w:tab w:val="num" w:pos="6480"/>
        </w:tabs>
        <w:ind w:left="6480" w:hanging="360"/>
      </w:pPr>
      <w:rPr>
        <w:position w:val="0"/>
        <w:sz w:val="24"/>
        <w:szCs w:val="24"/>
        <w:rtl w:val="0"/>
      </w:rPr>
    </w:lvl>
    <w:lvl w:ilvl="8">
      <w:start w:val="1"/>
      <w:numFmt w:val="bullet"/>
      <w:lvlText w:val="▪"/>
      <w:lvlJc w:val="left"/>
      <w:pPr>
        <w:tabs>
          <w:tab w:val="num" w:pos="7200"/>
        </w:tabs>
        <w:ind w:left="7200" w:hanging="360"/>
      </w:pPr>
      <w:rPr>
        <w:position w:val="0"/>
        <w:sz w:val="24"/>
        <w:szCs w:val="24"/>
        <w:rtl w:val="0"/>
      </w:rPr>
    </w:lvl>
  </w:abstractNum>
  <w:abstractNum w:abstractNumId="3" w15:restartNumberingAfterBreak="0">
    <w:nsid w:val="1C0C2419"/>
    <w:multiLevelType w:val="multilevel"/>
    <w:tmpl w:val="27EAC544"/>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87"/>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 w15:restartNumberingAfterBreak="0">
    <w:nsid w:val="230A74D3"/>
    <w:multiLevelType w:val="multilevel"/>
    <w:tmpl w:val="17404E2A"/>
    <w:styleLink w:val="List0"/>
    <w:lvl w:ilvl="0">
      <w:start w:val="1"/>
      <w:numFmt w:val="decimal"/>
      <w:lvlText w:val="%1."/>
      <w:lvlJc w:val="left"/>
      <w:pPr>
        <w:tabs>
          <w:tab w:val="num" w:pos="720"/>
        </w:tabs>
        <w:ind w:left="720" w:hanging="360"/>
      </w:pPr>
      <w:rPr>
        <w:rFonts w:ascii="Trebuchet MS Bold" w:eastAsia="Trebuchet MS Bold" w:hAnsi="Trebuchet MS Bold" w:cs="Trebuchet MS Bold"/>
        <w:b/>
        <w:bCs/>
        <w:position w:val="0"/>
        <w:sz w:val="24"/>
        <w:szCs w:val="24"/>
        <w:u w:val="single"/>
      </w:rPr>
    </w:lvl>
    <w:lvl w:ilvl="1">
      <w:start w:val="1"/>
      <w:numFmt w:val="lowerLetter"/>
      <w:lvlText w:val="%2."/>
      <w:lvlJc w:val="left"/>
      <w:pPr>
        <w:tabs>
          <w:tab w:val="num" w:pos="1440"/>
        </w:tabs>
        <w:ind w:left="1440" w:hanging="360"/>
      </w:pPr>
      <w:rPr>
        <w:rFonts w:ascii="Trebuchet MS Bold" w:eastAsia="Trebuchet MS Bold" w:hAnsi="Trebuchet MS Bold" w:cs="Trebuchet MS Bold"/>
        <w:b/>
        <w:bCs/>
        <w:position w:val="0"/>
        <w:sz w:val="24"/>
        <w:szCs w:val="24"/>
        <w:u w:val="single"/>
      </w:rPr>
    </w:lvl>
    <w:lvl w:ilvl="2">
      <w:start w:val="1"/>
      <w:numFmt w:val="lowerRoman"/>
      <w:lvlText w:val="%3."/>
      <w:lvlJc w:val="left"/>
      <w:pPr>
        <w:tabs>
          <w:tab w:val="num" w:pos="2160"/>
        </w:tabs>
        <w:ind w:left="2160" w:hanging="296"/>
      </w:pPr>
      <w:rPr>
        <w:rFonts w:ascii="Calibri" w:eastAsia="Calibri" w:hAnsi="Calibri" w:cs="Calibri"/>
        <w:b/>
        <w:bCs/>
        <w:position w:val="0"/>
        <w:sz w:val="24"/>
        <w:szCs w:val="24"/>
        <w:u w:val="single"/>
      </w:rPr>
    </w:lvl>
    <w:lvl w:ilvl="3">
      <w:start w:val="1"/>
      <w:numFmt w:val="decimal"/>
      <w:lvlText w:val="%4."/>
      <w:lvlJc w:val="left"/>
      <w:pPr>
        <w:tabs>
          <w:tab w:val="num" w:pos="2880"/>
        </w:tabs>
        <w:ind w:left="2880" w:hanging="360"/>
      </w:pPr>
      <w:rPr>
        <w:rFonts w:ascii="Calibri" w:eastAsia="Calibri" w:hAnsi="Calibri" w:cs="Calibri"/>
        <w:b/>
        <w:bCs/>
        <w:position w:val="0"/>
        <w:sz w:val="24"/>
        <w:szCs w:val="24"/>
        <w:u w:val="single"/>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u w:val="single"/>
      </w:rPr>
    </w:lvl>
    <w:lvl w:ilvl="5">
      <w:start w:val="1"/>
      <w:numFmt w:val="lowerRoman"/>
      <w:lvlText w:val="%6."/>
      <w:lvlJc w:val="left"/>
      <w:pPr>
        <w:tabs>
          <w:tab w:val="num" w:pos="4320"/>
        </w:tabs>
        <w:ind w:left="4320" w:hanging="296"/>
      </w:pPr>
      <w:rPr>
        <w:rFonts w:ascii="Calibri" w:eastAsia="Calibri" w:hAnsi="Calibri" w:cs="Calibri"/>
        <w:b/>
        <w:bCs/>
        <w:position w:val="0"/>
        <w:sz w:val="24"/>
        <w:szCs w:val="24"/>
        <w:u w:val="single"/>
      </w:rPr>
    </w:lvl>
    <w:lvl w:ilvl="6">
      <w:start w:val="1"/>
      <w:numFmt w:val="decimal"/>
      <w:lvlText w:val="%7."/>
      <w:lvlJc w:val="left"/>
      <w:pPr>
        <w:tabs>
          <w:tab w:val="num" w:pos="5040"/>
        </w:tabs>
        <w:ind w:left="5040" w:hanging="360"/>
      </w:pPr>
      <w:rPr>
        <w:rFonts w:ascii="Calibri" w:eastAsia="Calibri" w:hAnsi="Calibri" w:cs="Calibri"/>
        <w:b/>
        <w:bCs/>
        <w:position w:val="0"/>
        <w:sz w:val="24"/>
        <w:szCs w:val="24"/>
        <w:u w:val="single"/>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u w:val="single"/>
      </w:rPr>
    </w:lvl>
    <w:lvl w:ilvl="8">
      <w:start w:val="1"/>
      <w:numFmt w:val="lowerRoman"/>
      <w:lvlText w:val="%9."/>
      <w:lvlJc w:val="left"/>
      <w:pPr>
        <w:tabs>
          <w:tab w:val="num" w:pos="6480"/>
        </w:tabs>
        <w:ind w:left="6480" w:hanging="296"/>
      </w:pPr>
      <w:rPr>
        <w:rFonts w:ascii="Calibri" w:eastAsia="Calibri" w:hAnsi="Calibri" w:cs="Calibri"/>
        <w:b/>
        <w:bCs/>
        <w:position w:val="0"/>
        <w:sz w:val="24"/>
        <w:szCs w:val="24"/>
        <w:u w:val="single"/>
      </w:rPr>
    </w:lvl>
  </w:abstractNum>
  <w:abstractNum w:abstractNumId="5" w15:restartNumberingAfterBreak="0">
    <w:nsid w:val="3C536E09"/>
    <w:multiLevelType w:val="multilevel"/>
    <w:tmpl w:val="1F1E278C"/>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87"/>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 w15:restartNumberingAfterBreak="0">
    <w:nsid w:val="4FBD57CF"/>
    <w:multiLevelType w:val="multilevel"/>
    <w:tmpl w:val="E64C95B6"/>
    <w:styleLink w:val="List1"/>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87"/>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15:restartNumberingAfterBreak="0">
    <w:nsid w:val="55555ECE"/>
    <w:multiLevelType w:val="multilevel"/>
    <w:tmpl w:val="88BE74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555A1DE3"/>
    <w:multiLevelType w:val="multilevel"/>
    <w:tmpl w:val="98347B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604C7F9D"/>
    <w:multiLevelType w:val="multilevel"/>
    <w:tmpl w:val="0BBA2DC0"/>
    <w:lvl w:ilvl="0">
      <w:start w:val="1"/>
      <w:numFmt w:val="decimal"/>
      <w:lvlText w:val="%1."/>
      <w:lvlJc w:val="left"/>
      <w:pPr>
        <w:tabs>
          <w:tab w:val="num" w:pos="720"/>
        </w:tabs>
        <w:ind w:left="720" w:hanging="360"/>
      </w:pPr>
      <w:rPr>
        <w:rFonts w:ascii="Calibri" w:eastAsia="Calibri" w:hAnsi="Calibri" w:cs="Calibri"/>
        <w:b/>
        <w:bCs/>
        <w:position w:val="0"/>
        <w:sz w:val="24"/>
        <w:szCs w:val="24"/>
        <w:u w:val="single"/>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u w:val="single"/>
      </w:rPr>
    </w:lvl>
    <w:lvl w:ilvl="2">
      <w:start w:val="1"/>
      <w:numFmt w:val="lowerRoman"/>
      <w:lvlText w:val="%3."/>
      <w:lvlJc w:val="left"/>
      <w:pPr>
        <w:tabs>
          <w:tab w:val="num" w:pos="2160"/>
        </w:tabs>
        <w:ind w:left="2160" w:hanging="296"/>
      </w:pPr>
      <w:rPr>
        <w:rFonts w:ascii="Calibri" w:eastAsia="Calibri" w:hAnsi="Calibri" w:cs="Calibri"/>
        <w:b/>
        <w:bCs/>
        <w:position w:val="0"/>
        <w:sz w:val="24"/>
        <w:szCs w:val="24"/>
        <w:u w:val="single"/>
      </w:rPr>
    </w:lvl>
    <w:lvl w:ilvl="3">
      <w:start w:val="1"/>
      <w:numFmt w:val="decimal"/>
      <w:lvlText w:val="%4."/>
      <w:lvlJc w:val="left"/>
      <w:pPr>
        <w:tabs>
          <w:tab w:val="num" w:pos="2880"/>
        </w:tabs>
        <w:ind w:left="2880" w:hanging="360"/>
      </w:pPr>
      <w:rPr>
        <w:rFonts w:ascii="Calibri" w:eastAsia="Calibri" w:hAnsi="Calibri" w:cs="Calibri"/>
        <w:b/>
        <w:bCs/>
        <w:position w:val="0"/>
        <w:sz w:val="24"/>
        <w:szCs w:val="24"/>
        <w:u w:val="single"/>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u w:val="single"/>
      </w:rPr>
    </w:lvl>
    <w:lvl w:ilvl="5">
      <w:start w:val="1"/>
      <w:numFmt w:val="lowerRoman"/>
      <w:lvlText w:val="%6."/>
      <w:lvlJc w:val="left"/>
      <w:pPr>
        <w:tabs>
          <w:tab w:val="num" w:pos="4320"/>
        </w:tabs>
        <w:ind w:left="4320" w:hanging="296"/>
      </w:pPr>
      <w:rPr>
        <w:rFonts w:ascii="Calibri" w:eastAsia="Calibri" w:hAnsi="Calibri" w:cs="Calibri"/>
        <w:b/>
        <w:bCs/>
        <w:position w:val="0"/>
        <w:sz w:val="24"/>
        <w:szCs w:val="24"/>
        <w:u w:val="single"/>
      </w:rPr>
    </w:lvl>
    <w:lvl w:ilvl="6">
      <w:start w:val="1"/>
      <w:numFmt w:val="decimal"/>
      <w:lvlText w:val="%7."/>
      <w:lvlJc w:val="left"/>
      <w:pPr>
        <w:tabs>
          <w:tab w:val="num" w:pos="5040"/>
        </w:tabs>
        <w:ind w:left="5040" w:hanging="360"/>
      </w:pPr>
      <w:rPr>
        <w:rFonts w:ascii="Calibri" w:eastAsia="Calibri" w:hAnsi="Calibri" w:cs="Calibri"/>
        <w:b/>
        <w:bCs/>
        <w:position w:val="0"/>
        <w:sz w:val="24"/>
        <w:szCs w:val="24"/>
        <w:u w:val="single"/>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u w:val="single"/>
      </w:rPr>
    </w:lvl>
    <w:lvl w:ilvl="8">
      <w:start w:val="1"/>
      <w:numFmt w:val="lowerRoman"/>
      <w:lvlText w:val="%9."/>
      <w:lvlJc w:val="left"/>
      <w:pPr>
        <w:tabs>
          <w:tab w:val="num" w:pos="6480"/>
        </w:tabs>
        <w:ind w:left="6480" w:hanging="296"/>
      </w:pPr>
      <w:rPr>
        <w:rFonts w:ascii="Calibri" w:eastAsia="Calibri" w:hAnsi="Calibri" w:cs="Calibri"/>
        <w:b/>
        <w:bCs/>
        <w:position w:val="0"/>
        <w:sz w:val="24"/>
        <w:szCs w:val="24"/>
        <w:u w:val="single"/>
      </w:rPr>
    </w:lvl>
  </w:abstractNum>
  <w:abstractNum w:abstractNumId="10" w15:restartNumberingAfterBreak="0">
    <w:nsid w:val="68FB3373"/>
    <w:multiLevelType w:val="multilevel"/>
    <w:tmpl w:val="E0D8715C"/>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87"/>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15:restartNumberingAfterBreak="0">
    <w:nsid w:val="6E8C4207"/>
    <w:multiLevelType w:val="multilevel"/>
    <w:tmpl w:val="AEF0B994"/>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87"/>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7C2743BA"/>
    <w:multiLevelType w:val="multilevel"/>
    <w:tmpl w:val="DF4260C6"/>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160"/>
        </w:tabs>
        <w:ind w:left="2160" w:hanging="360"/>
      </w:pPr>
      <w:rPr>
        <w:position w:val="0"/>
        <w:sz w:val="24"/>
        <w:szCs w:val="24"/>
        <w:rtl w:val="0"/>
      </w:rPr>
    </w:lvl>
    <w:lvl w:ilvl="2">
      <w:start w:val="1"/>
      <w:numFmt w:val="bullet"/>
      <w:lvlText w:val="▪"/>
      <w:lvlJc w:val="left"/>
      <w:pPr>
        <w:tabs>
          <w:tab w:val="num" w:pos="2880"/>
        </w:tabs>
        <w:ind w:left="2880" w:hanging="360"/>
      </w:pPr>
      <w:rPr>
        <w:position w:val="0"/>
        <w:sz w:val="24"/>
        <w:szCs w:val="24"/>
        <w:rtl w:val="0"/>
      </w:rPr>
    </w:lvl>
    <w:lvl w:ilvl="3">
      <w:start w:val="1"/>
      <w:numFmt w:val="bullet"/>
      <w:lvlText w:val="•"/>
      <w:lvlJc w:val="left"/>
      <w:pPr>
        <w:tabs>
          <w:tab w:val="num" w:pos="3600"/>
        </w:tabs>
        <w:ind w:left="3600" w:hanging="360"/>
      </w:pPr>
      <w:rPr>
        <w:position w:val="0"/>
        <w:sz w:val="24"/>
        <w:szCs w:val="24"/>
        <w:rtl w:val="0"/>
      </w:rPr>
    </w:lvl>
    <w:lvl w:ilvl="4">
      <w:start w:val="1"/>
      <w:numFmt w:val="bullet"/>
      <w:lvlText w:val="o"/>
      <w:lvlJc w:val="left"/>
      <w:pPr>
        <w:tabs>
          <w:tab w:val="num" w:pos="4320"/>
        </w:tabs>
        <w:ind w:left="4320" w:hanging="360"/>
      </w:pPr>
      <w:rPr>
        <w:position w:val="0"/>
        <w:sz w:val="24"/>
        <w:szCs w:val="24"/>
        <w:rtl w:val="0"/>
      </w:rPr>
    </w:lvl>
    <w:lvl w:ilvl="5">
      <w:start w:val="1"/>
      <w:numFmt w:val="bullet"/>
      <w:lvlText w:val="▪"/>
      <w:lvlJc w:val="left"/>
      <w:pPr>
        <w:tabs>
          <w:tab w:val="num" w:pos="5040"/>
        </w:tabs>
        <w:ind w:left="5040" w:hanging="360"/>
      </w:pPr>
      <w:rPr>
        <w:position w:val="0"/>
        <w:sz w:val="24"/>
        <w:szCs w:val="24"/>
        <w:rtl w:val="0"/>
      </w:rPr>
    </w:lvl>
    <w:lvl w:ilvl="6">
      <w:start w:val="1"/>
      <w:numFmt w:val="bullet"/>
      <w:lvlText w:val="•"/>
      <w:lvlJc w:val="left"/>
      <w:pPr>
        <w:tabs>
          <w:tab w:val="num" w:pos="5760"/>
        </w:tabs>
        <w:ind w:left="5760" w:hanging="360"/>
      </w:pPr>
      <w:rPr>
        <w:position w:val="0"/>
        <w:sz w:val="24"/>
        <w:szCs w:val="24"/>
        <w:rtl w:val="0"/>
      </w:rPr>
    </w:lvl>
    <w:lvl w:ilvl="7">
      <w:start w:val="1"/>
      <w:numFmt w:val="bullet"/>
      <w:lvlText w:val="o"/>
      <w:lvlJc w:val="left"/>
      <w:pPr>
        <w:tabs>
          <w:tab w:val="num" w:pos="6480"/>
        </w:tabs>
        <w:ind w:left="6480" w:hanging="360"/>
      </w:pPr>
      <w:rPr>
        <w:position w:val="0"/>
        <w:sz w:val="24"/>
        <w:szCs w:val="24"/>
        <w:rtl w:val="0"/>
      </w:rPr>
    </w:lvl>
    <w:lvl w:ilvl="8">
      <w:start w:val="1"/>
      <w:numFmt w:val="bullet"/>
      <w:lvlText w:val="▪"/>
      <w:lvlJc w:val="left"/>
      <w:pPr>
        <w:tabs>
          <w:tab w:val="num" w:pos="7200"/>
        </w:tabs>
        <w:ind w:left="7200" w:hanging="360"/>
      </w:pPr>
      <w:rPr>
        <w:position w:val="0"/>
        <w:sz w:val="24"/>
        <w:szCs w:val="24"/>
        <w:rtl w:val="0"/>
      </w:rPr>
    </w:lvl>
  </w:abstractNum>
  <w:abstractNum w:abstractNumId="13" w15:restartNumberingAfterBreak="0">
    <w:nsid w:val="7F553A7C"/>
    <w:multiLevelType w:val="multilevel"/>
    <w:tmpl w:val="DD7A16DE"/>
    <w:lvl w:ilvl="0">
      <w:start w:val="1"/>
      <w:numFmt w:val="bullet"/>
      <w:lvlText w:val="•"/>
      <w:lvlJc w:val="left"/>
      <w:pPr>
        <w:tabs>
          <w:tab w:val="num" w:pos="1440"/>
        </w:tabs>
        <w:ind w:left="1440" w:hanging="360"/>
      </w:pPr>
      <w:rPr>
        <w:position w:val="0"/>
        <w:sz w:val="24"/>
        <w:szCs w:val="24"/>
        <w:rtl w:val="0"/>
      </w:rPr>
    </w:lvl>
    <w:lvl w:ilvl="1">
      <w:start w:val="1"/>
      <w:numFmt w:val="bullet"/>
      <w:lvlText w:val="o"/>
      <w:lvlJc w:val="left"/>
      <w:pPr>
        <w:tabs>
          <w:tab w:val="num" w:pos="2160"/>
        </w:tabs>
        <w:ind w:left="2160" w:hanging="360"/>
      </w:pPr>
      <w:rPr>
        <w:position w:val="0"/>
        <w:sz w:val="24"/>
        <w:szCs w:val="24"/>
        <w:rtl w:val="0"/>
      </w:rPr>
    </w:lvl>
    <w:lvl w:ilvl="2">
      <w:start w:val="1"/>
      <w:numFmt w:val="bullet"/>
      <w:lvlText w:val="▪"/>
      <w:lvlJc w:val="left"/>
      <w:pPr>
        <w:tabs>
          <w:tab w:val="num" w:pos="2880"/>
        </w:tabs>
        <w:ind w:left="2880" w:hanging="360"/>
      </w:pPr>
      <w:rPr>
        <w:position w:val="0"/>
        <w:sz w:val="24"/>
        <w:szCs w:val="24"/>
        <w:rtl w:val="0"/>
      </w:rPr>
    </w:lvl>
    <w:lvl w:ilvl="3">
      <w:start w:val="1"/>
      <w:numFmt w:val="bullet"/>
      <w:lvlText w:val="•"/>
      <w:lvlJc w:val="left"/>
      <w:pPr>
        <w:tabs>
          <w:tab w:val="num" w:pos="3600"/>
        </w:tabs>
        <w:ind w:left="3600" w:hanging="360"/>
      </w:pPr>
      <w:rPr>
        <w:position w:val="0"/>
        <w:sz w:val="24"/>
        <w:szCs w:val="24"/>
        <w:rtl w:val="0"/>
      </w:rPr>
    </w:lvl>
    <w:lvl w:ilvl="4">
      <w:start w:val="1"/>
      <w:numFmt w:val="bullet"/>
      <w:lvlText w:val="o"/>
      <w:lvlJc w:val="left"/>
      <w:pPr>
        <w:tabs>
          <w:tab w:val="num" w:pos="4320"/>
        </w:tabs>
        <w:ind w:left="4320" w:hanging="360"/>
      </w:pPr>
      <w:rPr>
        <w:position w:val="0"/>
        <w:sz w:val="24"/>
        <w:szCs w:val="24"/>
        <w:rtl w:val="0"/>
      </w:rPr>
    </w:lvl>
    <w:lvl w:ilvl="5">
      <w:start w:val="1"/>
      <w:numFmt w:val="bullet"/>
      <w:lvlText w:val="▪"/>
      <w:lvlJc w:val="left"/>
      <w:pPr>
        <w:tabs>
          <w:tab w:val="num" w:pos="5040"/>
        </w:tabs>
        <w:ind w:left="5040" w:hanging="360"/>
      </w:pPr>
      <w:rPr>
        <w:position w:val="0"/>
        <w:sz w:val="24"/>
        <w:szCs w:val="24"/>
        <w:rtl w:val="0"/>
      </w:rPr>
    </w:lvl>
    <w:lvl w:ilvl="6">
      <w:start w:val="1"/>
      <w:numFmt w:val="bullet"/>
      <w:lvlText w:val="•"/>
      <w:lvlJc w:val="left"/>
      <w:pPr>
        <w:tabs>
          <w:tab w:val="num" w:pos="5760"/>
        </w:tabs>
        <w:ind w:left="5760" w:hanging="360"/>
      </w:pPr>
      <w:rPr>
        <w:position w:val="0"/>
        <w:sz w:val="24"/>
        <w:szCs w:val="24"/>
        <w:rtl w:val="0"/>
      </w:rPr>
    </w:lvl>
    <w:lvl w:ilvl="7">
      <w:start w:val="1"/>
      <w:numFmt w:val="bullet"/>
      <w:lvlText w:val="o"/>
      <w:lvlJc w:val="left"/>
      <w:pPr>
        <w:tabs>
          <w:tab w:val="num" w:pos="6480"/>
        </w:tabs>
        <w:ind w:left="6480" w:hanging="360"/>
      </w:pPr>
      <w:rPr>
        <w:position w:val="0"/>
        <w:sz w:val="24"/>
        <w:szCs w:val="24"/>
        <w:rtl w:val="0"/>
      </w:rPr>
    </w:lvl>
    <w:lvl w:ilvl="8">
      <w:start w:val="1"/>
      <w:numFmt w:val="bullet"/>
      <w:lvlText w:val="▪"/>
      <w:lvlJc w:val="left"/>
      <w:pPr>
        <w:tabs>
          <w:tab w:val="num" w:pos="7200"/>
        </w:tabs>
        <w:ind w:left="7200" w:hanging="360"/>
      </w:pPr>
      <w:rPr>
        <w:position w:val="0"/>
        <w:sz w:val="24"/>
        <w:szCs w:val="24"/>
        <w:rtl w:val="0"/>
      </w:rPr>
    </w:lvl>
  </w:abstractNum>
  <w:num w:numId="1">
    <w:abstractNumId w:val="9"/>
  </w:num>
  <w:num w:numId="2">
    <w:abstractNumId w:val="7"/>
  </w:num>
  <w:num w:numId="3">
    <w:abstractNumId w:val="4"/>
  </w:num>
  <w:num w:numId="4">
    <w:abstractNumId w:val="1"/>
  </w:num>
  <w:num w:numId="5">
    <w:abstractNumId w:val="0"/>
  </w:num>
  <w:num w:numId="6">
    <w:abstractNumId w:val="11"/>
  </w:num>
  <w:num w:numId="7">
    <w:abstractNumId w:val="10"/>
  </w:num>
  <w:num w:numId="8">
    <w:abstractNumId w:val="3"/>
  </w:num>
  <w:num w:numId="9">
    <w:abstractNumId w:val="5"/>
  </w:num>
  <w:num w:numId="10">
    <w:abstractNumId w:val="6"/>
  </w:num>
  <w:num w:numId="11">
    <w:abstractNumId w:val="13"/>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4B"/>
    <w:rsid w:val="005B5FFF"/>
    <w:rsid w:val="0060504B"/>
    <w:rsid w:val="0061104C"/>
    <w:rsid w:val="00827800"/>
    <w:rsid w:val="00DD5365"/>
    <w:rsid w:val="00DE4BBF"/>
    <w:rsid w:val="00E4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C4DC"/>
  <w15:docId w15:val="{4FBAF2F0-F0FA-4EA6-8C8F-A857FC53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0"/>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List21">
    <w:name w:val="List 21"/>
    <w:basedOn w:val="ImportedStyle2"/>
    <w:pPr>
      <w:numPr>
        <w:numId w:val="14"/>
      </w:numPr>
    </w:pPr>
  </w:style>
  <w:style w:type="numbering" w:customStyle="1" w:styleId="ImportedStyle2">
    <w:name w:val="Imported Style 2"/>
  </w:style>
  <w:style w:type="character" w:customStyle="1" w:styleId="Hyperlink1">
    <w:name w:val="Hyperlink.1"/>
    <w:basedOn w:val="Link"/>
    <w:rPr>
      <w:rFonts w:ascii="Trebuchet MS" w:eastAsia="Trebuchet MS" w:hAnsi="Trebuchet MS" w:cs="Trebuchet MS"/>
      <w:color w:val="0000FF"/>
      <w:sz w:val="24"/>
      <w:szCs w:val="24"/>
      <w:u w:val="single" w:color="0000FF"/>
    </w:rPr>
  </w:style>
  <w:style w:type="paragraph" w:styleId="Header">
    <w:name w:val="header"/>
    <w:basedOn w:val="Normal"/>
    <w:link w:val="HeaderChar"/>
    <w:uiPriority w:val="99"/>
    <w:unhideWhenUsed/>
    <w:rsid w:val="005B5FFF"/>
    <w:pPr>
      <w:tabs>
        <w:tab w:val="center" w:pos="4680"/>
        <w:tab w:val="right" w:pos="9360"/>
      </w:tabs>
    </w:pPr>
  </w:style>
  <w:style w:type="character" w:customStyle="1" w:styleId="HeaderChar">
    <w:name w:val="Header Char"/>
    <w:basedOn w:val="DefaultParagraphFont"/>
    <w:link w:val="Header"/>
    <w:uiPriority w:val="99"/>
    <w:rsid w:val="005B5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fespor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aba.org" TargetMode="External"/><Relationship Id="rId4" Type="http://schemas.openxmlformats.org/officeDocument/2006/relationships/webSettings" Target="webSettings.xml"/><Relationship Id="rId9" Type="http://schemas.openxmlformats.org/officeDocument/2006/relationships/hyperlink" Target="https://usaba.org/index.php/about-us/staf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Brousard</cp:lastModifiedBy>
  <cp:revision>5</cp:revision>
  <dcterms:created xsi:type="dcterms:W3CDTF">2017-12-15T18:08:00Z</dcterms:created>
  <dcterms:modified xsi:type="dcterms:W3CDTF">2017-12-18T16:31:00Z</dcterms:modified>
</cp:coreProperties>
</file>